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p>
      <w:pPr>
        <w:jc w:val="center"/>
        <w:rPr>
          <w:b/>
          <w:bCs/>
        </w:rPr>
      </w:pPr>
      <w:r>
        <w:rPr>
          <w:b/>
          <w:bCs/>
        </w:rPr>
        <w:t>Provisions in Pending Tax Legislation</w:t>
      </w:r>
      <w:r>
        <w:rPr>
          <w:b/>
          <w:bCs/>
        </w:rPr>
        <w:br/>
        <w:t>Potentially Affecting Tax-Exempt Hospitals and Health Care Providers</w:t>
      </w:r>
      <w:r>
        <w:rPr>
          <w:b/>
          <w:bCs/>
        </w:rPr>
        <w:br/>
        <w:t>And Other Tax-Exempt Organizations</w:t>
      </w:r>
      <w:r>
        <w:rPr>
          <w:b/>
          <w:bCs/>
        </w:rPr>
        <w:br/>
        <w:t>December 4, 2017</w:t>
      </w:r>
    </w:p>
    <w:p>
      <w:r>
        <w:t>This is a review of provisions potentially affecting tax-exempt hospitals and other tax-exempt nonprofits included in either the House version of the Tax Cuts and Jobs Act (H.R. 1) as it passed the House on November 16, 2017 or the Senate version of the legislation as it passed the Senate on December 2, 2017.  Note that both bills contain extensive changes to other parts of the tax code that could affect computation of unrelated business income tax for a tax-exempt entity, taxation of a taxable affiliate, employment taxes, taxation of fringe benefits paid to employees, and the tax incentive for charitable giving.  Notes on provisions that had been included in the Senate Finance Committee’s version of the bill that were dropped from the version that ultimately passed the Senate are included at the end of the chart.</w:t>
      </w:r>
    </w:p>
    <w:p>
      <w:r>
        <w:rPr>
          <w:u w:val="single"/>
        </w:rPr>
        <w:t>The following items appear in both bills in the same or substantially similar form</w:t>
      </w:r>
      <w:r>
        <w:t>.  This similarity makes it likely they will be enacted with the final legislation that emerges from the conference between the House and Senate:</w:t>
      </w:r>
    </w:p>
    <w:p>
      <w:pPr>
        <w:pStyle w:val="ListParagraph"/>
        <w:numPr>
          <w:ilvl w:val="0"/>
          <w:numId w:val="1"/>
        </w:numPr>
      </w:pPr>
      <w:r>
        <w:t>Repeal of tax exemption for interest on advance refunding bonds.</w:t>
      </w:r>
    </w:p>
    <w:p>
      <w:pPr>
        <w:pStyle w:val="ListParagraph"/>
        <w:numPr>
          <w:ilvl w:val="0"/>
          <w:numId w:val="1"/>
        </w:numPr>
      </w:pPr>
      <w:r>
        <w:t>Excise tax of 20% on compensation in excess of $1M and excess parachute payment paid to the five highest paid employees of a tax-exempt organization.</w:t>
      </w:r>
    </w:p>
    <w:p>
      <w:pPr>
        <w:pStyle w:val="ListParagraph"/>
        <w:numPr>
          <w:ilvl w:val="0"/>
          <w:numId w:val="1"/>
        </w:numPr>
      </w:pPr>
      <w:r>
        <w:t xml:space="preserve">Limitation on use of net operating loss carryovers to a percentage of taxable income.  </w:t>
      </w:r>
    </w:p>
    <w:p>
      <w:pPr>
        <w:pStyle w:val="ListParagraph"/>
        <w:numPr>
          <w:ilvl w:val="0"/>
          <w:numId w:val="1"/>
        </w:numPr>
      </w:pPr>
      <w:r>
        <w:t>Excise tax on net investment income of certain private colleges and universities.</w:t>
      </w:r>
    </w:p>
    <w:p>
      <w:pPr>
        <w:pStyle w:val="ListParagraph"/>
        <w:numPr>
          <w:ilvl w:val="0"/>
          <w:numId w:val="1"/>
        </w:numPr>
      </w:pPr>
      <w:r>
        <w:t>Repeal exception to requirement for substantiation of charitable contributions where donee organization reports to IRS.</w:t>
      </w:r>
    </w:p>
    <w:p>
      <w:pPr>
        <w:pStyle w:val="ListParagraph"/>
        <w:numPr>
          <w:ilvl w:val="0"/>
          <w:numId w:val="1"/>
        </w:numPr>
      </w:pPr>
      <w:r>
        <w:t xml:space="preserve">Repeal of the employer deduction for moving expenses and the employee exclusion for qualified moving expenses.  </w:t>
      </w:r>
    </w:p>
    <w:p>
      <w:r>
        <w:t xml:space="preserve">The revenue effects of different provisions will affect the negotiations in conference where the two bills differ because of the importance of complying with the budget reconciliation procedures in the Senate, which are needed to pass a final bill with the support of only 50 senators.   Repeal of the individual mandate, which appears only in the Senate bill, raises $318.4 billion.  Eliminating that provision from the final legislation would require substantial changes from the compromises that attracted 51 votes for passage of the Senate bill.  Repeal of the tax exemption for private activity bonds, which appears only in the House bill, raises $38.9 billion.  Eliminating that provision from the final legislation may be possible within the contours of final legislation that could pass both houses, subject to the complexities of meeting revenue targets.  </w:t>
      </w:r>
    </w:p>
    <w:p>
      <w:r>
        <w:br w:type="page"/>
      </w:r>
    </w:p>
    <w:tbl>
      <w:tblPr>
        <w:tblStyle w:val="TableGrid"/>
        <w:tblW w:w="9350" w:type="dxa"/>
        <w:tblLook w:val="04A0" w:firstRow="1" w:lastRow="0" w:firstColumn="1" w:lastColumn="0" w:noHBand="0" w:noVBand="1"/>
      </w:tblPr>
      <w:tblGrid>
        <w:gridCol w:w="3116"/>
        <w:gridCol w:w="3117"/>
        <w:gridCol w:w="3117"/>
      </w:tblGrid>
      <w:tr>
        <w:tc>
          <w:tcPr>
            <w:tcW w:w="3116" w:type="dxa"/>
          </w:tcPr>
          <w:p>
            <w:pPr>
              <w:rPr>
                <w:b/>
                <w:bCs/>
              </w:rPr>
            </w:pPr>
            <w:r>
              <w:rPr>
                <w:b/>
                <w:bCs/>
              </w:rPr>
              <w:lastRenderedPageBreak/>
              <w:t>Provision</w:t>
            </w:r>
          </w:p>
        </w:tc>
        <w:tc>
          <w:tcPr>
            <w:tcW w:w="3117" w:type="dxa"/>
          </w:tcPr>
          <w:p>
            <w:pPr>
              <w:rPr>
                <w:b/>
                <w:bCs/>
              </w:rPr>
            </w:pPr>
            <w:r>
              <w:rPr>
                <w:b/>
                <w:bCs/>
              </w:rPr>
              <w:t>House Bill – As Passed by House on November 16, 2017</w:t>
            </w:r>
          </w:p>
        </w:tc>
        <w:tc>
          <w:tcPr>
            <w:tcW w:w="3117" w:type="dxa"/>
          </w:tcPr>
          <w:p>
            <w:pPr>
              <w:rPr>
                <w:b/>
                <w:bCs/>
              </w:rPr>
            </w:pPr>
            <w:r>
              <w:rPr>
                <w:b/>
                <w:bCs/>
              </w:rPr>
              <w:t>Senate Bill – as Passed by Senate on December 2, 2017</w:t>
            </w:r>
          </w:p>
        </w:tc>
      </w:tr>
      <w:tr>
        <w:tc>
          <w:tcPr>
            <w:tcW w:w="9350" w:type="dxa"/>
            <w:gridSpan w:val="3"/>
          </w:tcPr>
          <w:p>
            <w:pPr>
              <w:rPr>
                <w:b/>
                <w:bCs/>
              </w:rPr>
            </w:pPr>
            <w:r>
              <w:rPr>
                <w:b/>
                <w:bCs/>
              </w:rPr>
              <w:t>Private Activity Bonds for Section 501(c)(3) Organizations</w:t>
            </w:r>
          </w:p>
        </w:tc>
      </w:tr>
      <w:tr>
        <w:tc>
          <w:tcPr>
            <w:tcW w:w="3116" w:type="dxa"/>
          </w:tcPr>
          <w:p>
            <w:r>
              <w:t>Repeal of tax exemption for interest on new bonds issued after December 31, 2017.  (Tax exemption on interest for current refunding bonds accordingly limited to refunding of private activity bonds issued before January 1, 2018.)</w:t>
            </w:r>
          </w:p>
        </w:tc>
        <w:tc>
          <w:tcPr>
            <w:tcW w:w="3117" w:type="dxa"/>
          </w:tcPr>
          <w:p>
            <w:r>
              <w:t>Included (Section 3601)</w:t>
            </w:r>
          </w:p>
          <w:p/>
          <w:p/>
          <w:p/>
          <w:p/>
          <w:p/>
          <w:p/>
          <w:p>
            <w:r>
              <w:t>$38.9B</w:t>
            </w:r>
          </w:p>
        </w:tc>
        <w:tc>
          <w:tcPr>
            <w:tcW w:w="3117" w:type="dxa"/>
          </w:tcPr>
          <w:p>
            <w:r>
              <w:t>Not included</w:t>
            </w:r>
          </w:p>
        </w:tc>
      </w:tr>
      <w:tr>
        <w:tc>
          <w:tcPr>
            <w:tcW w:w="3116" w:type="dxa"/>
          </w:tcPr>
          <w:p>
            <w:r>
              <w:t>Repeal of tax exemption for interest on advance refunding bonds issued after December 31, 2017.</w:t>
            </w:r>
          </w:p>
        </w:tc>
        <w:tc>
          <w:tcPr>
            <w:tcW w:w="3117" w:type="dxa"/>
          </w:tcPr>
          <w:p>
            <w:r>
              <w:t>Included (Section 3602)</w:t>
            </w:r>
          </w:p>
          <w:p/>
          <w:p/>
          <w:p>
            <w:r>
              <w:t>$17.3B</w:t>
            </w:r>
          </w:p>
        </w:tc>
        <w:tc>
          <w:tcPr>
            <w:tcW w:w="3117" w:type="dxa"/>
          </w:tcPr>
          <w:p>
            <w:r>
              <w:t>Included (Section 13532)</w:t>
            </w:r>
          </w:p>
          <w:p/>
          <w:p/>
          <w:p>
            <w:r>
              <w:t>$17.3B</w:t>
            </w:r>
          </w:p>
        </w:tc>
      </w:tr>
      <w:tr>
        <w:tc>
          <w:tcPr>
            <w:tcW w:w="9350" w:type="dxa"/>
            <w:gridSpan w:val="3"/>
          </w:tcPr>
          <w:p>
            <w:pPr>
              <w:rPr>
                <w:b/>
                <w:bCs/>
              </w:rPr>
            </w:pPr>
            <w:r>
              <w:rPr>
                <w:b/>
                <w:bCs/>
              </w:rPr>
              <w:t>Additional Tax Cost to Exempt Organizations for Providing Certain Compensation or Employee Benefits</w:t>
            </w:r>
          </w:p>
        </w:tc>
      </w:tr>
      <w:tr>
        <w:tc>
          <w:tcPr>
            <w:tcW w:w="3116" w:type="dxa"/>
          </w:tcPr>
          <w:p>
            <w:r>
              <w:t>Excise tax of 20% on compensation in excess of $1M paid to any of the five highest paid employees for the current year or any prior year beginning after December 31, 2016.  Effective for tax years beginning after December 31, 2017.</w:t>
            </w:r>
            <w:r>
              <w:rPr>
                <w:rStyle w:val="FootnoteReference"/>
              </w:rPr>
              <w:footnoteReference w:id="1"/>
            </w:r>
          </w:p>
        </w:tc>
        <w:tc>
          <w:tcPr>
            <w:tcW w:w="3117" w:type="dxa"/>
          </w:tcPr>
          <w:p>
            <w:r>
              <w:t>Included (Section 3802)</w:t>
            </w:r>
          </w:p>
          <w:p/>
          <w:p/>
          <w:p/>
          <w:p/>
          <w:p/>
          <w:p/>
          <w:p>
            <w:r>
              <w:t>$3.6B</w:t>
            </w:r>
          </w:p>
        </w:tc>
        <w:tc>
          <w:tcPr>
            <w:tcW w:w="3117" w:type="dxa"/>
          </w:tcPr>
          <w:p>
            <w:r>
              <w:t>Included (Section 13602)</w:t>
            </w:r>
          </w:p>
          <w:p/>
          <w:p/>
          <w:p/>
          <w:p/>
          <w:p/>
          <w:p/>
          <w:p>
            <w:r>
              <w:t>$3.6B</w:t>
            </w:r>
          </w:p>
        </w:tc>
      </w:tr>
      <w:tr>
        <w:tc>
          <w:tcPr>
            <w:tcW w:w="3116" w:type="dxa"/>
          </w:tcPr>
          <w:p>
            <w:r>
              <w:t>Excise tax of 20% on excess parachute payments paid to one of the five highest paid employees in the current year or any prior year beginning after December 31, 2016.</w:t>
            </w:r>
          </w:p>
        </w:tc>
        <w:tc>
          <w:tcPr>
            <w:tcW w:w="3117" w:type="dxa"/>
          </w:tcPr>
          <w:p>
            <w:r>
              <w:t>Included (Section 3802)</w:t>
            </w:r>
          </w:p>
          <w:p/>
          <w:p/>
          <w:p>
            <w:r>
              <w:t>(Included with estimate for excise tax on compensation over $1M)</w:t>
            </w:r>
          </w:p>
        </w:tc>
        <w:tc>
          <w:tcPr>
            <w:tcW w:w="3117" w:type="dxa"/>
          </w:tcPr>
          <w:p>
            <w:r>
              <w:t>Included (Section 13602)</w:t>
            </w:r>
          </w:p>
          <w:p/>
          <w:p/>
          <w:p>
            <w:r>
              <w:t>(Included with estimate for excise tax on compensation over $1M)</w:t>
            </w:r>
          </w:p>
        </w:tc>
      </w:tr>
      <w:tr>
        <w:tc>
          <w:tcPr>
            <w:tcW w:w="3116" w:type="dxa"/>
          </w:tcPr>
          <w:p>
            <w:r>
              <w:t xml:space="preserve">Tax-exempt employers subject to UBIT on value of employee entertainment, club dues, qualified transportation fringe benefits, on-premises athletic facilities, and amounts incurred to provide qualified parking. Effective for amounts paid or </w:t>
            </w:r>
            <w:r>
              <w:lastRenderedPageBreak/>
              <w:t>incurred after December 31, 2017.</w:t>
            </w:r>
          </w:p>
        </w:tc>
        <w:tc>
          <w:tcPr>
            <w:tcW w:w="3117" w:type="dxa"/>
          </w:tcPr>
          <w:p>
            <w:r>
              <w:lastRenderedPageBreak/>
              <w:t>Included (Section 3308)</w:t>
            </w:r>
          </w:p>
          <w:p/>
          <w:p/>
          <w:p/>
          <w:p/>
          <w:p/>
          <w:p/>
          <w:p/>
          <w:p/>
          <w:p/>
          <w:p/>
          <w:p/>
          <w:p/>
          <w:p/>
          <w:p/>
          <w:p/>
          <w:p/>
          <w:p/>
          <w:p>
            <w:r>
              <w:t>(No separate estimate.  Included with $12.8B for elimination of employer deduction for these expenses.)</w:t>
            </w:r>
          </w:p>
          <w:p/>
        </w:tc>
        <w:tc>
          <w:tcPr>
            <w:tcW w:w="3117" w:type="dxa"/>
          </w:tcPr>
          <w:p>
            <w:r>
              <w:lastRenderedPageBreak/>
              <w:t xml:space="preserve">Senate bill cuts back on taxable employers’ ability to deduct expenses for entertainment, club dues, qualified transportation fringes and meals provided for the convenience of the employer on the employer’s business premises but does not mention </w:t>
            </w:r>
            <w:r>
              <w:lastRenderedPageBreak/>
              <w:t>additional tax on tax-exempt employers providing these benefits.  Employers will be allowed a 50% meal expense deduction until January 1, 2026 when such expenses will no longer be deductible. (Section 13304)</w:t>
            </w:r>
          </w:p>
          <w:p/>
          <w:p>
            <w:r>
              <w:t>($22.9B for changes to employer deduction)</w:t>
            </w:r>
          </w:p>
        </w:tc>
      </w:tr>
      <w:tr>
        <w:tc>
          <w:tcPr>
            <w:tcW w:w="9350" w:type="dxa"/>
            <w:gridSpan w:val="3"/>
          </w:tcPr>
          <w:p>
            <w:pPr>
              <w:rPr>
                <w:b/>
                <w:bCs/>
              </w:rPr>
            </w:pPr>
            <w:r>
              <w:rPr>
                <w:b/>
                <w:bCs/>
              </w:rPr>
              <w:lastRenderedPageBreak/>
              <w:t>Potential Increases in UBIT Liability</w:t>
            </w:r>
          </w:p>
        </w:tc>
      </w:tr>
      <w:tr>
        <w:tc>
          <w:tcPr>
            <w:tcW w:w="3116" w:type="dxa"/>
          </w:tcPr>
          <w:p>
            <w:r>
              <w:t>Net operating loss carryovers would be allowed only to the extent of 90 percent of the taxpayer’s taxable income.  Carrybacks would generally be eliminated. Effective for tax years beginning after December 31, 2017.</w:t>
            </w:r>
          </w:p>
        </w:tc>
        <w:tc>
          <w:tcPr>
            <w:tcW w:w="3117" w:type="dxa"/>
          </w:tcPr>
          <w:p>
            <w:r>
              <w:t>Included (Section 3302)</w:t>
            </w:r>
          </w:p>
          <w:p/>
          <w:p/>
          <w:p/>
          <w:p/>
          <w:p/>
          <w:p/>
          <w:p>
            <w:r>
              <w:t>$156B</w:t>
            </w:r>
          </w:p>
        </w:tc>
        <w:tc>
          <w:tcPr>
            <w:tcW w:w="3117" w:type="dxa"/>
          </w:tcPr>
          <w:p>
            <w:r>
              <w:t>Included, but modified to set limit on NOL deduction at 80 percent of taxpayer’s taxable income.  Effective for tax years beginning after December 31, 2022. (Section 13302)</w:t>
            </w:r>
          </w:p>
          <w:p/>
          <w:p>
            <w:r>
              <w:t>$157.8B</w:t>
            </w:r>
          </w:p>
        </w:tc>
      </w:tr>
      <w:tr>
        <w:tc>
          <w:tcPr>
            <w:tcW w:w="3116" w:type="dxa"/>
          </w:tcPr>
          <w:p>
            <w:r>
              <w:t xml:space="preserve">Clarify that governmental entities that are exempt under Section 501(a) and also exclude their income from tax under Section 115 are subject to UBIT.  Effective for tax years beginning after December 31, 2017. </w:t>
            </w:r>
          </w:p>
        </w:tc>
        <w:tc>
          <w:tcPr>
            <w:tcW w:w="3117" w:type="dxa"/>
          </w:tcPr>
          <w:p>
            <w:r>
              <w:t>Included (Section 5001)</w:t>
            </w:r>
          </w:p>
          <w:p/>
          <w:p/>
          <w:p/>
          <w:p/>
          <w:p/>
          <w:p>
            <w:r>
              <w:t>$1.1B</w:t>
            </w:r>
          </w:p>
        </w:tc>
        <w:tc>
          <w:tcPr>
            <w:tcW w:w="3117" w:type="dxa"/>
          </w:tcPr>
          <w:p>
            <w:r>
              <w:t>Not included</w:t>
            </w:r>
          </w:p>
        </w:tc>
      </w:tr>
      <w:tr>
        <w:tc>
          <w:tcPr>
            <w:tcW w:w="3116" w:type="dxa"/>
          </w:tcPr>
          <w:p>
            <w:r>
              <w:t>Income from research received by an exempt organization operated primarily to carry on research excluded from UBIT only if the research is fundamental research.  Effective for tax years beginning after December 31, 2017.</w:t>
            </w:r>
          </w:p>
        </w:tc>
        <w:tc>
          <w:tcPr>
            <w:tcW w:w="3117" w:type="dxa"/>
          </w:tcPr>
          <w:p>
            <w:r>
              <w:t>Included (Section 5002)</w:t>
            </w:r>
          </w:p>
          <w:p/>
          <w:p/>
          <w:p/>
          <w:p/>
          <w:p/>
          <w:p/>
          <w:p>
            <w:r>
              <w:t>$.7B</w:t>
            </w:r>
          </w:p>
        </w:tc>
        <w:tc>
          <w:tcPr>
            <w:tcW w:w="3117" w:type="dxa"/>
          </w:tcPr>
          <w:p>
            <w:r>
              <w:t>Not included</w:t>
            </w:r>
          </w:p>
        </w:tc>
      </w:tr>
      <w:tr>
        <w:tc>
          <w:tcPr>
            <w:tcW w:w="3116" w:type="dxa"/>
          </w:tcPr>
          <w:p>
            <w:r>
              <w:t>Unrelated business taxable income computed separately for each line of business.  Effective for tax years beginning after December 31, 2017.</w:t>
            </w:r>
          </w:p>
        </w:tc>
        <w:tc>
          <w:tcPr>
            <w:tcW w:w="3117" w:type="dxa"/>
          </w:tcPr>
          <w:p>
            <w:r>
              <w:t>Not included</w:t>
            </w:r>
          </w:p>
        </w:tc>
        <w:tc>
          <w:tcPr>
            <w:tcW w:w="3117" w:type="dxa"/>
          </w:tcPr>
          <w:p>
            <w:r>
              <w:t>Included (Section 13702)</w:t>
            </w:r>
          </w:p>
          <w:p/>
          <w:p/>
          <w:p/>
          <w:p>
            <w:r>
              <w:t>$3.2B</w:t>
            </w:r>
          </w:p>
        </w:tc>
      </w:tr>
    </w:tbl>
    <w:p>
      <w:r>
        <w:br w:type="page"/>
      </w:r>
    </w:p>
    <w:tbl>
      <w:tblPr>
        <w:tblStyle w:val="TableGrid"/>
        <w:tblW w:w="9350" w:type="dxa"/>
        <w:tblLook w:val="04A0" w:firstRow="1" w:lastRow="0" w:firstColumn="1" w:lastColumn="0" w:noHBand="0" w:noVBand="1"/>
      </w:tblPr>
      <w:tblGrid>
        <w:gridCol w:w="3116"/>
        <w:gridCol w:w="3117"/>
        <w:gridCol w:w="3117"/>
      </w:tblGrid>
      <w:tr>
        <w:tc>
          <w:tcPr>
            <w:tcW w:w="9350" w:type="dxa"/>
            <w:gridSpan w:val="3"/>
          </w:tcPr>
          <w:p>
            <w:pPr>
              <w:rPr>
                <w:b/>
                <w:bCs/>
              </w:rPr>
            </w:pPr>
            <w:r>
              <w:rPr>
                <w:b/>
                <w:bCs/>
              </w:rPr>
              <w:lastRenderedPageBreak/>
              <w:t>Changes to Exemption Requirements and to Intermediate Sanctions, Taxation of Certain Investment Income</w:t>
            </w:r>
          </w:p>
        </w:tc>
      </w:tr>
      <w:tr>
        <w:tc>
          <w:tcPr>
            <w:tcW w:w="3116" w:type="dxa"/>
          </w:tcPr>
          <w:p>
            <w:r>
              <w:t>Section 501(c)(3) organization will not lose exemption if it makes statements in the ordinary course of its activities that favor or oppose candidates, and it incurs no more than de minimis expenses for those activities. Effective for tax years beginning after December 31, 2017.</w:t>
            </w:r>
          </w:p>
        </w:tc>
        <w:tc>
          <w:tcPr>
            <w:tcW w:w="3117" w:type="dxa"/>
          </w:tcPr>
          <w:p>
            <w:r>
              <w:t>Included (Section 5201)</w:t>
            </w:r>
          </w:p>
          <w:p/>
          <w:p/>
          <w:p/>
          <w:p/>
          <w:p/>
          <w:p/>
          <w:p/>
          <w:p/>
          <w:p>
            <w:r>
              <w:t>$2.1B</w:t>
            </w:r>
          </w:p>
        </w:tc>
        <w:tc>
          <w:tcPr>
            <w:tcW w:w="3117" w:type="dxa"/>
          </w:tcPr>
          <w:p>
            <w:r>
              <w:t>Not included</w:t>
            </w:r>
          </w:p>
        </w:tc>
      </w:tr>
      <w:tr>
        <w:tc>
          <w:tcPr>
            <w:tcW w:w="3116" w:type="dxa"/>
          </w:tcPr>
          <w:p>
            <w:r>
              <w:t>Private colleges and universities subject to a 1.4% excise tax on net investment income if they have at least 500 students and assets (other than mission-related assets like buildings and equipment) of at least $250,000 per full-time student. Effective for tax years beginning after December 31, 2017.</w:t>
            </w:r>
          </w:p>
        </w:tc>
        <w:tc>
          <w:tcPr>
            <w:tcW w:w="3117" w:type="dxa"/>
          </w:tcPr>
          <w:p>
            <w:r>
              <w:t>Included (Section 5103)</w:t>
            </w:r>
          </w:p>
          <w:p/>
          <w:p/>
          <w:p>
            <w:r>
              <w:t>$2.5B</w:t>
            </w:r>
          </w:p>
        </w:tc>
        <w:tc>
          <w:tcPr>
            <w:tcW w:w="3117" w:type="dxa"/>
          </w:tcPr>
          <w:p>
            <w:r>
              <w:t>Included (Section 13701)</w:t>
            </w:r>
          </w:p>
          <w:p/>
          <w:p>
            <w:r>
              <w:t>Note that the legislation passed by the full Senate increased the threshold for applicable colleges and universities from $250,000 to $500,000 in non-mission-related assets per full-time student.</w:t>
            </w:r>
          </w:p>
          <w:p>
            <w:r>
              <w:t>$1.8B</w:t>
            </w:r>
          </w:p>
        </w:tc>
      </w:tr>
      <w:tr>
        <w:tc>
          <w:tcPr>
            <w:tcW w:w="3116" w:type="dxa"/>
          </w:tcPr>
          <w:p>
            <w:pPr>
              <w:rPr>
                <w:b/>
                <w:bCs/>
              </w:rPr>
            </w:pPr>
            <w:r>
              <w:rPr>
                <w:b/>
                <w:bCs/>
              </w:rPr>
              <w:t>Cutbacks on Tax-Favored Employee Benefits</w:t>
            </w:r>
          </w:p>
        </w:tc>
        <w:tc>
          <w:tcPr>
            <w:tcW w:w="3117" w:type="dxa"/>
          </w:tcPr>
          <w:p/>
        </w:tc>
        <w:tc>
          <w:tcPr>
            <w:tcW w:w="3117" w:type="dxa"/>
          </w:tcPr>
          <w:p/>
        </w:tc>
      </w:tr>
      <w:tr>
        <w:tc>
          <w:tcPr>
            <w:tcW w:w="3116" w:type="dxa"/>
          </w:tcPr>
          <w:p>
            <w:r>
              <w:t>The exclusion from income and wages for employer-provided educational assistance (current Section 127 of the Code) is repealed. Effective for amounts paid or incurred after December 31, 2017.</w:t>
            </w:r>
          </w:p>
        </w:tc>
        <w:tc>
          <w:tcPr>
            <w:tcW w:w="3117" w:type="dxa"/>
          </w:tcPr>
          <w:p>
            <w:r>
              <w:t>Included (Section 1204)</w:t>
            </w:r>
          </w:p>
          <w:p/>
          <w:p/>
          <w:p/>
          <w:p/>
          <w:p/>
          <w:p/>
          <w:p>
            <w:r>
              <w:t>(Appears to be bundled in $47.5B changes to provisions relating to education.)</w:t>
            </w:r>
          </w:p>
        </w:tc>
        <w:tc>
          <w:tcPr>
            <w:tcW w:w="3117" w:type="dxa"/>
          </w:tcPr>
          <w:p>
            <w:r>
              <w:t>Not Included</w:t>
            </w:r>
          </w:p>
          <w:p/>
          <w:p/>
          <w:p/>
          <w:p/>
          <w:p/>
          <w:p/>
          <w:p/>
          <w:p/>
          <w:p/>
        </w:tc>
      </w:tr>
      <w:tr>
        <w:tc>
          <w:tcPr>
            <w:tcW w:w="3116" w:type="dxa"/>
          </w:tcPr>
          <w:p>
            <w:r>
              <w:t>The exclusion from income and wages for qualified tuition reductions provided by schools, colleges and universities to employees (including graduate teaching and research assistants), their spouses and dependents is repealed.  Effective for amounts paid or incurred after December 31, 2017.</w:t>
            </w:r>
          </w:p>
        </w:tc>
        <w:tc>
          <w:tcPr>
            <w:tcW w:w="3117" w:type="dxa"/>
          </w:tcPr>
          <w:p>
            <w:r>
              <w:t>Included (Section 1204)</w:t>
            </w:r>
          </w:p>
          <w:p/>
          <w:p/>
          <w:p/>
          <w:p/>
          <w:p/>
          <w:p/>
          <w:p/>
          <w:p>
            <w:r>
              <w:t>(Appears to be bundled in $47.5B changes to provisions relating to education.)</w:t>
            </w:r>
          </w:p>
        </w:tc>
        <w:tc>
          <w:tcPr>
            <w:tcW w:w="3117" w:type="dxa"/>
          </w:tcPr>
          <w:p>
            <w:r>
              <w:t>Not included</w:t>
            </w:r>
          </w:p>
        </w:tc>
      </w:tr>
      <w:tr>
        <w:tc>
          <w:tcPr>
            <w:tcW w:w="3116" w:type="dxa"/>
          </w:tcPr>
          <w:p>
            <w:r>
              <w:lastRenderedPageBreak/>
              <w:t xml:space="preserve">The deduction for moving expenses and the exclusion or employer provided qualified moving expense reimbursements is repealed. Effective for amounts paid or incurred after December 31, 2017. </w:t>
            </w:r>
          </w:p>
        </w:tc>
        <w:tc>
          <w:tcPr>
            <w:tcW w:w="3117" w:type="dxa"/>
          </w:tcPr>
          <w:p>
            <w:r>
              <w:t>Included (Section 1310 and Section 1405)</w:t>
            </w:r>
          </w:p>
          <w:p/>
          <w:p/>
          <w:p/>
          <w:p/>
          <w:p>
            <w:r>
              <w:t>$9.8B – deduction</w:t>
            </w:r>
          </w:p>
          <w:p>
            <w:r>
              <w:t>$6.2B – exclusion</w:t>
            </w:r>
          </w:p>
        </w:tc>
        <w:tc>
          <w:tcPr>
            <w:tcW w:w="3117" w:type="dxa"/>
          </w:tcPr>
          <w:p>
            <w:r>
              <w:t>Included; the deduction repeal will expire on January 1, 2026. (Sections 11049 and 11050)</w:t>
            </w:r>
          </w:p>
          <w:p/>
          <w:p/>
          <w:p/>
          <w:p>
            <w:r>
              <w:t>$7.6B – deduction</w:t>
            </w:r>
          </w:p>
          <w:p>
            <w:r>
              <w:t>$4.8B – exclusion</w:t>
            </w:r>
          </w:p>
        </w:tc>
      </w:tr>
      <w:tr>
        <w:tc>
          <w:tcPr>
            <w:tcW w:w="3116" w:type="dxa"/>
          </w:tcPr>
          <w:p>
            <w:r>
              <w:t>Employer–provided dependent care assistance would no longer be excluded from income and wages.  Effective for tax years beginning after December 31, 2022.</w:t>
            </w:r>
          </w:p>
        </w:tc>
        <w:tc>
          <w:tcPr>
            <w:tcW w:w="3117" w:type="dxa"/>
          </w:tcPr>
          <w:p>
            <w:r>
              <w:t>Included (Section 1404)</w:t>
            </w:r>
          </w:p>
          <w:p/>
          <w:p/>
          <w:p/>
          <w:p/>
          <w:p>
            <w:r>
              <w:t>$3.4B</w:t>
            </w:r>
          </w:p>
        </w:tc>
        <w:tc>
          <w:tcPr>
            <w:tcW w:w="3117" w:type="dxa"/>
          </w:tcPr>
          <w:p>
            <w:r>
              <w:t>Not included</w:t>
            </w:r>
          </w:p>
        </w:tc>
      </w:tr>
      <w:tr>
        <w:tc>
          <w:tcPr>
            <w:tcW w:w="3116" w:type="dxa"/>
          </w:tcPr>
          <w:p>
            <w:r>
              <w:t>Employer payments of qualified adoption expenses would no longer be excluded from income and wages. Effective for tax years beginning after December 31, 2017.</w:t>
            </w:r>
          </w:p>
        </w:tc>
        <w:tc>
          <w:tcPr>
            <w:tcW w:w="3117" w:type="dxa"/>
          </w:tcPr>
          <w:p>
            <w:r>
              <w:t>Included (Section 1406)</w:t>
            </w:r>
          </w:p>
          <w:p/>
          <w:p/>
          <w:p/>
          <w:p/>
          <w:p>
            <w:r>
              <w:t>Negligible revenue effect</w:t>
            </w:r>
          </w:p>
        </w:tc>
        <w:tc>
          <w:tcPr>
            <w:tcW w:w="3117" w:type="dxa"/>
          </w:tcPr>
          <w:p>
            <w:r>
              <w:t>Not included</w:t>
            </w:r>
          </w:p>
        </w:tc>
      </w:tr>
      <w:tr>
        <w:tc>
          <w:tcPr>
            <w:tcW w:w="3116" w:type="dxa"/>
          </w:tcPr>
          <w:p>
            <w:r>
              <w:t>Employee achievement awards would no longer be excluded from income and wages.  Effective for tax years beginning after December 31, 2017.</w:t>
            </w:r>
          </w:p>
        </w:tc>
        <w:tc>
          <w:tcPr>
            <w:tcW w:w="3117" w:type="dxa"/>
          </w:tcPr>
          <w:p>
            <w:r>
              <w:t>Included (Section 1403)</w:t>
            </w:r>
          </w:p>
          <w:p/>
          <w:p/>
          <w:p/>
          <w:p/>
          <w:p/>
          <w:p/>
          <w:p/>
          <w:p/>
          <w:p>
            <w:r>
              <w:t>$3.8B</w:t>
            </w:r>
          </w:p>
        </w:tc>
        <w:tc>
          <w:tcPr>
            <w:tcW w:w="3117" w:type="dxa"/>
          </w:tcPr>
          <w:p>
            <w:r>
              <w:t xml:space="preserve">Not included; however, the full Senate voted to prohibit the use of cash, gift cards, securities, vacations, and other non-tangible personal property as deductible employee achievement awards. (Section 13311) </w:t>
            </w:r>
          </w:p>
          <w:p/>
          <w:p>
            <w:pPr>
              <w:rPr>
                <w:highlight w:val="yellow"/>
              </w:rPr>
            </w:pPr>
            <w:r>
              <w:t>Negligible revenue effect</w:t>
            </w:r>
          </w:p>
        </w:tc>
      </w:tr>
      <w:tr>
        <w:tc>
          <w:tcPr>
            <w:tcW w:w="3116" w:type="dxa"/>
          </w:tcPr>
          <w:p>
            <w:pPr>
              <w:rPr>
                <w:b/>
                <w:bCs/>
              </w:rPr>
            </w:pPr>
            <w:r>
              <w:rPr>
                <w:b/>
                <w:bCs/>
              </w:rPr>
              <w:t>Provisions Potentially Affecting Delivery of HealthCare</w:t>
            </w:r>
          </w:p>
        </w:tc>
        <w:tc>
          <w:tcPr>
            <w:tcW w:w="3117" w:type="dxa"/>
          </w:tcPr>
          <w:p/>
        </w:tc>
        <w:tc>
          <w:tcPr>
            <w:tcW w:w="3117" w:type="dxa"/>
          </w:tcPr>
          <w:p/>
        </w:tc>
      </w:tr>
      <w:tr>
        <w:tc>
          <w:tcPr>
            <w:tcW w:w="3116" w:type="dxa"/>
          </w:tcPr>
          <w:p>
            <w:r>
              <w:t>Penalty excise tax on individuals who do not have minimum essential coverage (i.e. “individual mandate”) reduced to zero percent rate.  Effective for months beginning after December 31, 2018.</w:t>
            </w:r>
          </w:p>
        </w:tc>
        <w:tc>
          <w:tcPr>
            <w:tcW w:w="3117" w:type="dxa"/>
          </w:tcPr>
          <w:p>
            <w:r>
              <w:t>Not included</w:t>
            </w:r>
          </w:p>
        </w:tc>
        <w:tc>
          <w:tcPr>
            <w:tcW w:w="3117" w:type="dxa"/>
          </w:tcPr>
          <w:p>
            <w:r>
              <w:t>Included (Section 11081)</w:t>
            </w:r>
          </w:p>
          <w:p/>
          <w:p/>
          <w:p/>
          <w:p/>
          <w:p/>
          <w:p>
            <w:r>
              <w:t>$318.4B</w:t>
            </w:r>
          </w:p>
        </w:tc>
      </w:tr>
      <w:tr>
        <w:tc>
          <w:tcPr>
            <w:tcW w:w="3116" w:type="dxa"/>
          </w:tcPr>
          <w:p>
            <w:r>
              <w:t>Repeal of deduction for medical expenses.  Effective for tax years beginning after December 31, 2017.</w:t>
            </w:r>
          </w:p>
        </w:tc>
        <w:tc>
          <w:tcPr>
            <w:tcW w:w="3117" w:type="dxa"/>
          </w:tcPr>
          <w:p>
            <w:r>
              <w:t>Included (Section 1311)</w:t>
            </w:r>
          </w:p>
          <w:p/>
          <w:p/>
          <w:p/>
          <w:p/>
          <w:p/>
          <w:p/>
          <w:p/>
          <w:p/>
          <w:p>
            <w:r>
              <w:t>No separate estimate</w:t>
            </w:r>
          </w:p>
        </w:tc>
        <w:tc>
          <w:tcPr>
            <w:tcW w:w="3117" w:type="dxa"/>
          </w:tcPr>
          <w:p>
            <w:r>
              <w:lastRenderedPageBreak/>
              <w:t>Not included; the full Senate voted to temporarily reduce the medical expense deduction floor to 7.5% for taxable years beginning after December 31, 2016 and ending before January 1, 2019. (Section 11028)</w:t>
            </w:r>
          </w:p>
          <w:p/>
          <w:p>
            <w:r>
              <w:t>$4.6B to reduce floor from current 10% to 7.5%</w:t>
            </w:r>
          </w:p>
        </w:tc>
      </w:tr>
      <w:tr>
        <w:tc>
          <w:tcPr>
            <w:tcW w:w="3116" w:type="dxa"/>
          </w:tcPr>
          <w:p>
            <w:pPr>
              <w:rPr>
                <w:b/>
                <w:bCs/>
              </w:rPr>
            </w:pPr>
            <w:r>
              <w:lastRenderedPageBreak/>
              <w:br w:type="page"/>
            </w:r>
            <w:r>
              <w:rPr>
                <w:b/>
                <w:bCs/>
              </w:rPr>
              <w:t>Additional Miscellaneous Exempt Organizations Provisions</w:t>
            </w:r>
          </w:p>
        </w:tc>
        <w:tc>
          <w:tcPr>
            <w:tcW w:w="3117" w:type="dxa"/>
          </w:tcPr>
          <w:p/>
        </w:tc>
        <w:tc>
          <w:tcPr>
            <w:tcW w:w="3117" w:type="dxa"/>
          </w:tcPr>
          <w:p/>
        </w:tc>
      </w:tr>
      <w:tr>
        <w:tc>
          <w:tcPr>
            <w:tcW w:w="3116" w:type="dxa"/>
          </w:tcPr>
          <w:p>
            <w:r>
              <w:t>Simplification of private foundation excise tax on net investment income to a single rate of 1.4%.  Effective for tax years beginning after December 31, 2017.</w:t>
            </w:r>
          </w:p>
        </w:tc>
        <w:tc>
          <w:tcPr>
            <w:tcW w:w="3117" w:type="dxa"/>
          </w:tcPr>
          <w:p>
            <w:r>
              <w:t>Included (Section 5101)</w:t>
            </w:r>
          </w:p>
          <w:p/>
          <w:p/>
          <w:p/>
          <w:p/>
          <w:p>
            <w:r>
              <w:t>$.5B</w:t>
            </w:r>
          </w:p>
        </w:tc>
        <w:tc>
          <w:tcPr>
            <w:tcW w:w="3117" w:type="dxa"/>
          </w:tcPr>
          <w:p>
            <w:r>
              <w:t>Not Included</w:t>
            </w:r>
          </w:p>
        </w:tc>
      </w:tr>
      <w:tr>
        <w:tc>
          <w:tcPr>
            <w:tcW w:w="3116" w:type="dxa"/>
          </w:tcPr>
          <w:p>
            <w:r>
              <w:t>To be a private operating foundation, a foundation that operates an art museum would be required to be open to the public at least 1000 hours during the taxable year.  Effective for tax years beginning after December 31, 2017.</w:t>
            </w:r>
          </w:p>
        </w:tc>
        <w:tc>
          <w:tcPr>
            <w:tcW w:w="3117" w:type="dxa"/>
          </w:tcPr>
          <w:p>
            <w:r>
              <w:t>Included (Section 5102)</w:t>
            </w:r>
          </w:p>
          <w:p/>
          <w:p/>
          <w:p/>
          <w:p/>
          <w:p/>
          <w:p/>
          <w:p>
            <w:r>
              <w:t>Negligible revenue effect</w:t>
            </w:r>
          </w:p>
        </w:tc>
        <w:tc>
          <w:tcPr>
            <w:tcW w:w="3117" w:type="dxa"/>
          </w:tcPr>
          <w:p>
            <w:r>
              <w:t>Not included</w:t>
            </w:r>
          </w:p>
        </w:tc>
      </w:tr>
      <w:tr>
        <w:tc>
          <w:tcPr>
            <w:tcW w:w="3116" w:type="dxa"/>
          </w:tcPr>
          <w:p>
            <w:r>
              <w:t>Private foundation would be exempted from tax on excess business holdings for holdings in an independently-operated philanthropic business, meaning all profits go to charity and there are no substantial contributors to the foundation serving as directors, officers or employees of the business. Effective for tax years beginning after December 31, 2017.</w:t>
            </w:r>
          </w:p>
        </w:tc>
        <w:tc>
          <w:tcPr>
            <w:tcW w:w="3117" w:type="dxa"/>
          </w:tcPr>
          <w:p>
            <w:r>
              <w:t>Included (Section 5104)</w:t>
            </w:r>
          </w:p>
          <w:p/>
          <w:p/>
          <w:p/>
          <w:p/>
          <w:p/>
          <w:p/>
          <w:p/>
          <w:p/>
          <w:p/>
          <w:p/>
          <w:p>
            <w:r>
              <w:t>Negligible revenue effect</w:t>
            </w:r>
          </w:p>
        </w:tc>
        <w:tc>
          <w:tcPr>
            <w:tcW w:w="3117" w:type="dxa"/>
          </w:tcPr>
          <w:p>
            <w:r>
              <w:t xml:space="preserve">Not Included </w:t>
            </w:r>
          </w:p>
        </w:tc>
      </w:tr>
      <w:tr>
        <w:tc>
          <w:tcPr>
            <w:tcW w:w="3116" w:type="dxa"/>
          </w:tcPr>
          <w:p>
            <w:r>
              <w:t>Sponsoring organizations holding donor advised funds would be required to report the average amount of grants made from the funds and whether it had a policy on frequency and minimum level of distribution from the funds.  Effective for tax years beginning after December 31, 2017.</w:t>
            </w:r>
          </w:p>
        </w:tc>
        <w:tc>
          <w:tcPr>
            <w:tcW w:w="3117" w:type="dxa"/>
          </w:tcPr>
          <w:p>
            <w:r>
              <w:t>Included (Section 5202)</w:t>
            </w:r>
          </w:p>
          <w:p/>
          <w:p/>
          <w:p/>
          <w:p/>
          <w:p/>
          <w:p/>
          <w:p/>
          <w:p/>
          <w:p>
            <w:r>
              <w:t>No revenue effect</w:t>
            </w:r>
          </w:p>
        </w:tc>
        <w:tc>
          <w:tcPr>
            <w:tcW w:w="3117" w:type="dxa"/>
          </w:tcPr>
          <w:p>
            <w:r>
              <w:t>Not included</w:t>
            </w:r>
          </w:p>
        </w:tc>
      </w:tr>
      <w:tr>
        <w:tc>
          <w:tcPr>
            <w:tcW w:w="3116" w:type="dxa"/>
          </w:tcPr>
          <w:p>
            <w:r>
              <w:t xml:space="preserve">Amounts paid to colleges and universities in exchange for athletic seating would not be deductible as charitable </w:t>
            </w:r>
            <w:r>
              <w:lastRenderedPageBreak/>
              <w:t>contributions. Effective for contributions made after December 31, 2017.</w:t>
            </w:r>
          </w:p>
        </w:tc>
        <w:tc>
          <w:tcPr>
            <w:tcW w:w="3117" w:type="dxa"/>
          </w:tcPr>
          <w:p>
            <w:r>
              <w:lastRenderedPageBreak/>
              <w:t>Not included</w:t>
            </w:r>
          </w:p>
        </w:tc>
        <w:tc>
          <w:tcPr>
            <w:tcW w:w="3117" w:type="dxa"/>
          </w:tcPr>
          <w:p>
            <w:r>
              <w:t>Included (Section 13703)</w:t>
            </w:r>
          </w:p>
          <w:p/>
          <w:p/>
          <w:p/>
          <w:p/>
          <w:p/>
          <w:p>
            <w:r>
              <w:t>$1.9B</w:t>
            </w:r>
          </w:p>
        </w:tc>
      </w:tr>
      <w:tr>
        <w:tc>
          <w:tcPr>
            <w:tcW w:w="3116" w:type="dxa"/>
          </w:tcPr>
          <w:p>
            <w:r>
              <w:lastRenderedPageBreak/>
              <w:t xml:space="preserve">Repeal exception to requirement for substantiation of charitable contributions that applies where donee reports the contribution to the IRS.  </w:t>
            </w:r>
          </w:p>
        </w:tc>
        <w:tc>
          <w:tcPr>
            <w:tcW w:w="3117" w:type="dxa"/>
          </w:tcPr>
          <w:p>
            <w:r>
              <w:t>Included; effective for contributions made in tax years beginning after December 31, 2017. (Section 1306(d))</w:t>
            </w:r>
          </w:p>
          <w:p/>
          <w:p>
            <w:r>
              <w:t>No separate revenue estimate</w:t>
            </w:r>
          </w:p>
        </w:tc>
        <w:tc>
          <w:tcPr>
            <w:tcW w:w="3117" w:type="dxa"/>
          </w:tcPr>
          <w:p>
            <w:r>
              <w:t>Included; effective for tax years beginning after December 31, 2016. (Section 13704)</w:t>
            </w:r>
          </w:p>
          <w:p/>
          <w:p/>
          <w:p>
            <w:r>
              <w:t>Negligible revenue effect</w:t>
            </w:r>
          </w:p>
        </w:tc>
      </w:tr>
    </w:tbl>
    <w:p/>
    <w:p>
      <w:pPr>
        <w:rPr>
          <w:b/>
          <w:bCs/>
        </w:rPr>
      </w:pPr>
      <w:r>
        <w:rPr>
          <w:b/>
          <w:bCs/>
        </w:rPr>
        <w:t>Items that were in the bill as passed by the Senate Finance Committee that have now been dropped from the Senate version of the bill:</w:t>
      </w:r>
    </w:p>
    <w:p>
      <w:r>
        <w:rPr>
          <w:u w:val="single"/>
        </w:rPr>
        <w:t>Changes to Excess Benefit Transactions Rules</w:t>
      </w:r>
      <w:r>
        <w:t xml:space="preserve">:  If an excess benefit transaction occurs and the disqualified person is taxed, the exempt organization also pays an excise tax equal to 10% of the </w:t>
      </w:r>
      <w:bookmarkStart w:name="_GoBack" w:id="0"/>
      <w:bookmarkEnd w:id="0"/>
      <w:r>
        <w:t>excess benefit unless organization’s participation is not willful and is due to reasonable cause or if organization establishes that it followed current rebuttable presumption procedures.  Rebuttable presumption is eliminated.  Reliance on professional advice no longer protects organization managers from having acted knowingly in approving a transaction.  Athletic coaches and investment advisors are all treated as disqualified persons.  Intermediate sanctions are extended to Section 501(c)(5) and 501(c)(6) organizations.  Effective for tax years beginning after December 31, 2017.  (Section 13705 in version that passed Senate Finance Committee.)</w:t>
      </w:r>
    </w:p>
    <w:p>
      <w:r>
        <w:rPr>
          <w:u w:val="single"/>
        </w:rPr>
        <w:t>UBIT on Royalties for Use of Name and Logo</w:t>
      </w:r>
      <w:r>
        <w:t>:  Revenue from sale or licensing of organization’s name or logo (including trademark or copyright on name or logo) is subject to UBIT.  Effective for tax years beginning after December 31, 2017. (Section 13702 in version that passed the Senate Finance Committee.)</w:t>
      </w:r>
    </w:p>
    <w:p>
      <w:pPr>
        <w:rPr>
          <w:u w:val="single"/>
        </w:rPr>
      </w:pPr>
      <w:r>
        <w:rPr>
          <w:u w:val="single"/>
        </w:rPr>
        <w:t>Private Foundation Ownership of Independently Operated Businesses</w:t>
      </w:r>
      <w:r>
        <w:t>:  Private foundation would be exempted from tax on excess business holdings for holdings in an independently-operated philanthropic business, meaning all profits go to charity and there are no substantial contributors to the foundation serving as directors, officers or employees of the business.  Effective for tax years beginning after December 31, 2017. (Section 13706 in version that passed the Senate Finance Committee.)</w:t>
      </w:r>
    </w:p>
    <w:p>
      <w:r>
        <w:rPr>
          <w:u w:val="single"/>
        </w:rPr>
        <w:t>Elimination of Exemption for Professional Sports Leagues</w:t>
      </w:r>
      <w:r>
        <w:t>:  Professional sports leagues would no longer qualify as tax-exempt organizations under Section 501(c)(6).  Effective for tax years beginning after December 31, 2017. (Section 13704 in version that passed the Senate Finance Committee.)</w:t>
      </w:r>
    </w:p>
    <w:p>
      <w:r>
        <w:t>For questions or further information, contact :</w:t>
      </w:r>
    </w:p>
    <w:p>
      <w:r>
        <w:t>Catherine E. Livingston</w:t>
      </w:r>
      <w:r>
        <w:tab/>
      </w:r>
      <w:r>
        <w:tab/>
      </w:r>
      <w:r>
        <w:tab/>
      </w:r>
      <w:r>
        <w:tab/>
      </w:r>
      <w:r>
        <w:tab/>
      </w:r>
      <w:r>
        <w:tab/>
      </w:r>
      <w:r>
        <w:tab/>
        <w:t>Gerald M. Griffith</w:t>
      </w:r>
      <w:r>
        <w:br/>
      </w:r>
      <w:hyperlink w:history="1" r:id="rId8">
        <w:r>
          <w:rPr>
            <w:rStyle w:val="Hyperlink"/>
          </w:rPr>
          <w:t>clivingston@jonesday.com</w:t>
        </w:r>
      </w:hyperlink>
      <w:r>
        <w:rPr>
          <w:rStyle w:val="Hyperlink"/>
          <w:u w:val="none"/>
        </w:rPr>
        <w:tab/>
      </w:r>
      <w:r>
        <w:rPr>
          <w:rStyle w:val="Hyperlink"/>
          <w:u w:val="none"/>
        </w:rPr>
        <w:tab/>
      </w:r>
      <w:r>
        <w:rPr>
          <w:rStyle w:val="Hyperlink"/>
          <w:u w:val="none"/>
        </w:rPr>
        <w:tab/>
      </w:r>
      <w:r>
        <w:rPr>
          <w:rStyle w:val="Hyperlink"/>
          <w:u w:val="none"/>
        </w:rPr>
        <w:tab/>
      </w:r>
      <w:r>
        <w:rPr>
          <w:rStyle w:val="Hyperlink"/>
          <w:u w:val="none"/>
        </w:rPr>
        <w:tab/>
      </w:r>
      <w:r>
        <w:rPr>
          <w:rStyle w:val="Hyperlink"/>
          <w:u w:val="none"/>
        </w:rPr>
        <w:tab/>
      </w:r>
      <w:r>
        <w:rPr>
          <w:rStyle w:val="Hyperlink"/>
        </w:rPr>
        <w:t>ggriffith@jonesday.com</w:t>
      </w:r>
      <w:r>
        <w:br/>
        <w:t>202-879-3756</w:t>
      </w:r>
      <w:r>
        <w:tab/>
      </w:r>
      <w:r>
        <w:tab/>
      </w:r>
      <w:r>
        <w:tab/>
      </w:r>
      <w:r>
        <w:tab/>
      </w:r>
      <w:r>
        <w:tab/>
      </w:r>
      <w:r>
        <w:tab/>
      </w:r>
      <w:r>
        <w:tab/>
      </w:r>
      <w:r>
        <w:tab/>
        <w:t>312-269-1507</w:t>
      </w:r>
    </w:p>
    <w:sectPr>
      <w:headerReference w:type="default"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pPr>
        <w:spacing w:after="0" w:line="240" w:lineRule="auto"/>
      </w:pPr>
      <w:r>
        <w:separator/>
      </w:r>
    </w:p>
  </w:endnote>
  <w:endnote w:type="continuationSeparator" w:id="0">
    <w:p>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DengXian">
    <w:altName w:val="SimSun"/>
    <w:panose1 w:val="02010600030101010101"/>
    <w:charset w:val="86"/>
    <w:family w:val="auto"/>
    <w:pitch w:val="variable"/>
    <w:sig w:usb0="A10102FF" w:usb1="38CF7CFA" w:usb2="00010016" w:usb3="00000000" w:csb0="0004000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Light">
    <w:altName w:val="等线 Light"/>
    <w:charset w:val="86"/>
    <w:family w:val="auto"/>
    <w:pitch w:val="variable"/>
    <w:sig w:usb0="A10102FF" w:usb1="38CF7CFA" w:usb2="0001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pPr>
      <w:pStyle w:val="Footer"/>
      <w:spacing w:line="200" w:lineRule="exact"/>
    </w:pPr>
    <w:r>
      <w:rPr>
        <w:rStyle w:val="zzmpTrailerItem"/>
      </w:rPr>
      <w:t>NAI-1503238683v2</w:t>
    </w:r>
    <w:r>
      <w:t xml:space="preserve"> </w:t>
    </w:r>
    <w:sdt>
      <w:sdtPr>
        <w:id w:val="713392035"/>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7</w:t>
        </w:r>
        <w:r>
          <w:rPr>
            <w:noProof/>
          </w:rPr>
          <w:fldChar w:fldCharType="end"/>
        </w:r>
      </w:sdtContent>
    </w:sdt>
  </w:p>
  <w:p>
    <w:pPr>
      <w:pStyle w:val="Footer"/>
      <w:spacing w:line="200" w:lineRule="exac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pPr>
        <w:spacing w:after="0" w:line="240" w:lineRule="auto"/>
      </w:pPr>
      <w:r>
        <w:separator/>
      </w:r>
    </w:p>
  </w:footnote>
  <w:footnote w:type="continuationSeparator" w:id="0">
    <w:p>
      <w:pPr>
        <w:spacing w:after="0" w:line="240" w:lineRule="auto"/>
      </w:pPr>
      <w:r>
        <w:continuationSeparator/>
      </w:r>
    </w:p>
  </w:footnote>
  <w:footnote w:id="1">
    <w:p>
      <w:pPr>
        <w:pStyle w:val="FootnoteText"/>
      </w:pPr>
      <w:r>
        <w:rPr>
          <w:rStyle w:val="FootnoteReference"/>
        </w:rPr>
        <w:footnoteRef/>
      </w:r>
      <w:r>
        <w:t xml:space="preserve"> The legislation in both houses does not contain a transition rule for existing binding contracts.  A transition rule for written binding contracts in effect on November 2, 2017 is included with respect to the changes proposed for Section 162(m), which limits the deduction public companies may take where compensation exceeds $1 million for certain executives.  There is active lobbying to add a comparable transition rule for written binding contracts to this provision affecting tax-exempt organizations.</w:t>
      </w:r>
    </w:p>
  </w:footnote>
</w:footnotes>
</file>

<file path=word/header1.xml><?xml version="1.0" encoding="utf-8"?>
<w:hdr xmlns:a="http://schemas.openxmlformats.org/drawingml/2006/main" xmlns:pic="http://schemas.openxmlformats.org/drawingml/2006/picture" xmlns:a14="http://schemas.microsoft.com/office/drawing/2010/main"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pPr>
      <w:pStyle w:val="Header"/>
    </w:pPr>
    <w:r>
      <w:rPr>
        <w:noProof/>
      </w:rPr>
      <w:drawing>
        <wp:inline distT="0" distB="0" distL="0" distR="0">
          <wp:extent cx="774700" cy="533252"/>
          <wp:effectExtent l="0" t="0" r="6350" b="635"/>
          <wp:docPr id="1" name="Picture 1"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JD Logo.Blue.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95058" cy="547265"/>
                  </a:xfrm>
                  <a:prstGeom prst="rect">
                    <a:avLst/>
                  </a:prstGeom>
                </pic:spPr>
              </pic:pic>
            </a:graphicData>
          </a:graphic>
        </wp:inline>
      </w:drawing>
    </w:r>
  </w:p>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C231F3D"/>
    <w:multiLevelType w:val="hybridMultilevel"/>
    <w:tmpl w:val="5AC23A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867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8673"/>
    <o:shapelayout v:ext="edit">
      <o:idmap v:ext="edit" data="1"/>
    </o:shapelayout>
  </w:shapeDefaults>
  <w:decimalSymbol w:val="."/>
  <w:listSeparator w:val=","/>
  <w15:chartTrackingRefBased/>
  <w15:docId w15:val="{57094353-75C8-4FF0-9D8A-7AC539204A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hAnsiTheme="minorHAnsi" w:eastAsiaTheme="minorEastAsia"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Grid">
    <w:name w:val="Table Grid"/>
    <w:basedOn w:val="TableNormal"/>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Header">
    <w:name w:val="header"/>
    <w:basedOn w:val="Normal"/>
    <w:link w:val="HeaderChar"/>
    <w:uiPriority w:val="99"/>
    <w:unhideWhenUsed/>
    <w:pPr>
      <w:tabs>
        <w:tab w:val="center" w:pos="4680"/>
        <w:tab w:val="right" w:pos="9360"/>
      </w:tabs>
      <w:spacing w:after="0" w:line="240" w:lineRule="auto"/>
    </w:pPr>
  </w:style>
  <w:style w:type="character" w:styleId="HeaderChar" w:customStyle="1">
    <w:name w:val="Header Char"/>
    <w:basedOn w:val="DefaultParagraphFont"/>
    <w:link w:val="Head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character" w:styleId="FooterChar" w:customStyle="1">
    <w:name w:val="Footer Char"/>
    <w:basedOn w:val="DefaultParagraphFont"/>
    <w:link w:val="Footer"/>
    <w:uiPriority w:val="99"/>
  </w:style>
  <w:style w:type="character" w:styleId="zzmpTrailerItem" w:customStyle="1">
    <w:name w:val="zzmpTrailerItem"/>
    <w:basedOn w:val="DefaultParagraphFont"/>
    <w:rPr>
      <w:rFonts w:ascii="Calibri" w:hAnsi="Calibri" w:cs="Calibri"/>
      <w:dstrike w:val="0"/>
      <w:noProof/>
      <w:color w:val="auto"/>
      <w:spacing w:val="0"/>
      <w:position w:val="0"/>
      <w:sz w:val="16"/>
      <w:szCs w:val="16"/>
      <w:u w:val="none"/>
      <w:effect w:val="none"/>
      <w:vertAlign w:val="baseline"/>
    </w:rPr>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character" w:styleId="BalloonTextChar" w:customStyle="1">
    <w:name w:val="Balloon Text Char"/>
    <w:basedOn w:val="DefaultParagraphFont"/>
    <w:link w:val="BalloonText"/>
    <w:uiPriority w:val="99"/>
    <w:semiHidden/>
    <w:rPr>
      <w:rFonts w:ascii="Segoe UI" w:hAnsi="Segoe UI" w:cs="Segoe UI"/>
      <w:sz w:val="18"/>
      <w:szCs w:val="18"/>
    </w:rPr>
  </w:style>
  <w:style w:type="character" w:styleId="Hyperlink">
    <w:name w:val="Hyperlink"/>
    <w:basedOn w:val="DefaultParagraphFont"/>
    <w:uiPriority w:val="99"/>
    <w:unhideWhenUsed/>
    <w:rPr>
      <w:color w:val="0563C1" w:themeColor="hyperlink"/>
      <w:u w:val="single"/>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customStyle="1">
    <w:name w:val="Footnote Text Char"/>
    <w:basedOn w:val="DefaultParagraphFont"/>
    <w:link w:val="FootnoteText"/>
    <w:uiPriority w:val="99"/>
    <w:semiHidden/>
    <w:rPr>
      <w:sz w:val="20"/>
      <w:szCs w:val="20"/>
    </w:rPr>
  </w:style>
  <w:style w:type="character" w:styleId="FootnoteReference">
    <w:name w:val="footnote reference"/>
    <w:basedOn w:val="DefaultParagraphFont"/>
    <w:uiPriority w:val="99"/>
    <w:semiHidden/>
    <w:unhideWhenUsed/>
    <w:rPr>
      <w:vertAlign w:val="superscript"/>
    </w:rPr>
  </w:style>
  <w:style w:type="paragraph" w:styleId="ListParagraph">
    <w:name w:val="List Paragraph"/>
    <w:basedOn w:val="Normal"/>
    <w:uiPriority w:val="34"/>
    <w:qFormat/>
    <w:pPr>
      <w:ind w:left="720"/>
      <w:contextualSpacing/>
    </w:p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styleId="CommentTextChar" w:customStyle="1">
    <w:name w:val="Comment Text Char"/>
    <w:basedOn w:val="DefaultParagraphFont"/>
    <w:link w:val="CommentText"/>
    <w:uiPriority w:val="99"/>
    <w:semiHidden/>
    <w:rPr>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styleId="CommentSubjectChar" w:customStyle="1">
    <w:name w:val="Comment Subject Char"/>
    <w:basedOn w:val="CommentTextChar"/>
    <w:link w:val="CommentSubject"/>
    <w:uiPriority w:val="99"/>
    <w:semiHidden/>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hyperlink" Target="mailto:clivingston@jonesday.com" TargetMode="External" Id="rId8"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theme" Target="theme/theme1.xml" Id="rId12" /><Relationship Type="http://schemas.openxmlformats.org/officeDocument/2006/relationships/numbering" Target="numbering.xml" Id="rId2" /><Relationship Type="http://schemas.openxmlformats.org/officeDocument/2006/relationships/footnotes" Target="footnotes.xml" Id="rId6" /><Relationship Type="http://schemas.openxmlformats.org/officeDocument/2006/relationships/fontTable" Target="fontTable.xml" Id="rId11" /><Relationship Type="http://schemas.openxmlformats.org/officeDocument/2006/relationships/webSettings" Target="webSettings.xml" Id="rId5" /><Relationship Type="http://schemas.openxmlformats.org/officeDocument/2006/relationships/footer" Target="footer1.xml" Id="rId10" /><Relationship Type="http://schemas.openxmlformats.org/officeDocument/2006/relationships/settings" Target="settings.xml" Id="rId4" /><Relationship Type="http://schemas.openxmlformats.org/officeDocument/2006/relationships/header" Target="header1.xml" Id="rId9" /></Relationships>
</file>

<file path=word/_rels/header1.xml.rels>&#65279;<?xml version="1.0" encoding="UTF-8" standalone="yes"?>
<Relationships xmlns="http://schemas.openxmlformats.org/package/2006/relationships">
  <Relationship Id="rId1" Type="http://schemas.openxmlformats.org/officeDocument/2006/relationships/image" Target="media/image1.png" />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Template>
  <TotalTime>0</TotalTime>
  <Pages>7</Pages>
  <Words>2121</Words>
  <Characters>12090</Characters>
  <Application>
  </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lpstr>
    </vt:vector>
  </TitlesOfParts>
  <Company>
  </Company>
  <LinksUpToDate>false</LinksUpToDate>
  <CharactersWithSpaces>14183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subject>
  <dc:creator>
  </dc:creator>
  <cp:keywords>
  </cp:keywords>
  <dc:description>
  </dc:description>
  <cp:lastModifiedBy>
  </cp:lastModifiedBy>
  <cp:revision>1</cp:revision>
  <dcterms:created xsi:type="dcterms:W3CDTF">1900-01-01T05:00:00Z</dcterms:created>
  <dcterms:modified xsi:type="dcterms:W3CDTF">1900-01-01T05:00:00Z</dcterms:modified>
</cp:coreProperties>
</file>